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DC" w:rsidRDefault="008323DC" w:rsidP="008323D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ЛЕНИНГРАДСКАЯ ОБЛАСТЬ</w:t>
      </w:r>
    </w:p>
    <w:p w:rsidR="008323DC" w:rsidRDefault="008323DC" w:rsidP="008323D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ОБЛАСТНОЙ ЗАКОН</w:t>
      </w: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ind w:right="566"/>
        <w:jc w:val="center"/>
        <w:rPr>
          <w:rFonts w:eastAsia="Calibri"/>
          <w:b/>
          <w:bCs/>
          <w:sz w:val="27"/>
          <w:szCs w:val="27"/>
          <w:lang w:eastAsia="en-US"/>
        </w:rPr>
      </w:pPr>
      <w:bookmarkStart w:id="0" w:name="_GoBack"/>
      <w:r w:rsidRPr="00D34D06">
        <w:rPr>
          <w:rFonts w:eastAsia="Calibri"/>
          <w:b/>
          <w:bCs/>
          <w:sz w:val="27"/>
          <w:szCs w:val="27"/>
          <w:lang w:eastAsia="en-US"/>
        </w:rPr>
        <w:t xml:space="preserve">О порядке определения органами местного самоуправления </w:t>
      </w:r>
      <w:r w:rsidRPr="00D34D06">
        <w:rPr>
          <w:rFonts w:eastAsia="Calibri"/>
          <w:b/>
          <w:bCs/>
          <w:sz w:val="27"/>
          <w:szCs w:val="27"/>
          <w:lang w:eastAsia="en-US"/>
        </w:rPr>
        <w:br/>
        <w:t xml:space="preserve">границ прилегающих территорий на территории </w:t>
      </w:r>
      <w:r>
        <w:rPr>
          <w:rFonts w:eastAsia="Calibri"/>
          <w:b/>
          <w:bCs/>
          <w:sz w:val="27"/>
          <w:szCs w:val="27"/>
          <w:lang w:eastAsia="en-US"/>
        </w:rPr>
        <w:br/>
      </w:r>
      <w:r w:rsidRPr="00D34D06">
        <w:rPr>
          <w:rFonts w:eastAsia="Calibri"/>
          <w:b/>
          <w:bCs/>
          <w:sz w:val="27"/>
          <w:szCs w:val="27"/>
          <w:lang w:eastAsia="en-US"/>
        </w:rPr>
        <w:t>Ленинградской области</w:t>
      </w:r>
    </w:p>
    <w:bookmarkEnd w:id="0"/>
    <w:p w:rsidR="008323DC" w:rsidRPr="00C271BB" w:rsidRDefault="008323DC" w:rsidP="008323DC">
      <w:pPr>
        <w:autoSpaceDE w:val="0"/>
        <w:autoSpaceDN w:val="0"/>
        <w:adjustRightInd w:val="0"/>
        <w:ind w:right="566"/>
        <w:rPr>
          <w:rFonts w:eastAsia="Calibri"/>
          <w:bCs/>
          <w:sz w:val="20"/>
          <w:szCs w:val="28"/>
          <w:lang w:eastAsia="en-US"/>
        </w:rPr>
      </w:pPr>
    </w:p>
    <w:p w:rsidR="008323DC" w:rsidRPr="00C271BB" w:rsidRDefault="008323DC" w:rsidP="008323DC">
      <w:pPr>
        <w:autoSpaceDE w:val="0"/>
        <w:autoSpaceDN w:val="0"/>
        <w:adjustRightInd w:val="0"/>
        <w:ind w:right="566"/>
        <w:rPr>
          <w:rFonts w:eastAsia="Calibri"/>
          <w:bCs/>
          <w:sz w:val="20"/>
          <w:szCs w:val="28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ind w:right="566"/>
        <w:jc w:val="center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(</w:t>
      </w:r>
      <w:proofErr w:type="gramStart"/>
      <w:r w:rsidRPr="00D34D06">
        <w:rPr>
          <w:rFonts w:eastAsia="Calibri"/>
          <w:bCs/>
          <w:sz w:val="27"/>
          <w:szCs w:val="27"/>
          <w:lang w:eastAsia="en-US"/>
        </w:rPr>
        <w:t>Принят</w:t>
      </w:r>
      <w:proofErr w:type="gramEnd"/>
      <w:r w:rsidRPr="00D34D06">
        <w:rPr>
          <w:rFonts w:eastAsia="Calibri"/>
          <w:bCs/>
          <w:sz w:val="27"/>
          <w:szCs w:val="27"/>
          <w:lang w:eastAsia="en-US"/>
        </w:rPr>
        <w:t xml:space="preserve"> Законодательн</w:t>
      </w:r>
      <w:r>
        <w:rPr>
          <w:rFonts w:eastAsia="Calibri"/>
          <w:bCs/>
          <w:sz w:val="27"/>
          <w:szCs w:val="27"/>
          <w:lang w:eastAsia="en-US"/>
        </w:rPr>
        <w:t>ым</w:t>
      </w:r>
      <w:r w:rsidRPr="00D34D06">
        <w:rPr>
          <w:rFonts w:eastAsia="Calibri"/>
          <w:bCs/>
          <w:sz w:val="27"/>
          <w:szCs w:val="27"/>
          <w:lang w:eastAsia="en-US"/>
        </w:rPr>
        <w:t xml:space="preserve"> собрани</w:t>
      </w:r>
      <w:r>
        <w:rPr>
          <w:rFonts w:eastAsia="Calibri"/>
          <w:bCs/>
          <w:sz w:val="27"/>
          <w:szCs w:val="27"/>
          <w:lang w:eastAsia="en-US"/>
        </w:rPr>
        <w:t>ем</w:t>
      </w:r>
      <w:r w:rsidRPr="00D34D06">
        <w:rPr>
          <w:rFonts w:eastAsia="Calibri"/>
          <w:bCs/>
          <w:sz w:val="27"/>
          <w:szCs w:val="27"/>
          <w:lang w:eastAsia="en-US"/>
        </w:rPr>
        <w:t xml:space="preserve"> Ленинградской области </w:t>
      </w:r>
      <w:r w:rsidRPr="00D34D06">
        <w:rPr>
          <w:rFonts w:eastAsia="Calibri"/>
          <w:bCs/>
          <w:sz w:val="27"/>
          <w:szCs w:val="27"/>
          <w:lang w:eastAsia="en-US"/>
        </w:rPr>
        <w:br/>
        <w:t>24 октября 2018 года)</w:t>
      </w:r>
    </w:p>
    <w:p w:rsidR="008323DC" w:rsidRPr="00D34D06" w:rsidRDefault="008323DC" w:rsidP="008323DC">
      <w:pPr>
        <w:autoSpaceDE w:val="0"/>
        <w:autoSpaceDN w:val="0"/>
        <w:adjustRightInd w:val="0"/>
        <w:rPr>
          <w:rFonts w:eastAsia="Calibri"/>
          <w:bCs/>
          <w:sz w:val="27"/>
          <w:szCs w:val="27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rPr>
          <w:rFonts w:eastAsia="Calibri"/>
          <w:bCs/>
          <w:sz w:val="27"/>
          <w:szCs w:val="27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sz w:val="27"/>
          <w:szCs w:val="27"/>
          <w:lang w:eastAsia="en-US"/>
        </w:rPr>
      </w:pPr>
      <w:r w:rsidRPr="00D34D06">
        <w:rPr>
          <w:rFonts w:eastAsia="Calibri"/>
          <w:sz w:val="27"/>
          <w:szCs w:val="27"/>
          <w:lang w:eastAsia="en-US"/>
        </w:rPr>
        <w:t xml:space="preserve">Статья 1. </w:t>
      </w:r>
      <w:r w:rsidRPr="00D34D06">
        <w:rPr>
          <w:rFonts w:eastAsia="Calibri"/>
          <w:b/>
          <w:sz w:val="27"/>
          <w:szCs w:val="27"/>
          <w:lang w:eastAsia="en-US"/>
        </w:rPr>
        <w:t>Предмет регулирования настоящего областного закона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 xml:space="preserve">Настоящим областным законом в соответствии с Градостроительным кодексом Российской Федерации устанавливается порядок определения органами местного самоуправления границ </w:t>
      </w:r>
      <w:bookmarkStart w:id="1" w:name="Par7"/>
      <w:bookmarkEnd w:id="1"/>
      <w:r w:rsidRPr="00D34D06">
        <w:rPr>
          <w:rFonts w:eastAsia="Calibri"/>
          <w:bCs/>
          <w:sz w:val="27"/>
          <w:szCs w:val="27"/>
          <w:lang w:eastAsia="en-US"/>
        </w:rPr>
        <w:t>прилегающих территорий на территории Ленинградской области.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sz w:val="27"/>
          <w:szCs w:val="27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spacing w:val="-4"/>
          <w:sz w:val="27"/>
          <w:szCs w:val="27"/>
          <w:lang w:eastAsia="en-US"/>
        </w:rPr>
      </w:pPr>
      <w:r w:rsidRPr="00D34D06">
        <w:rPr>
          <w:rFonts w:eastAsia="Calibri"/>
          <w:spacing w:val="-4"/>
          <w:sz w:val="27"/>
          <w:szCs w:val="27"/>
          <w:lang w:eastAsia="en-US"/>
        </w:rPr>
        <w:t xml:space="preserve">Статья 2. </w:t>
      </w:r>
      <w:r w:rsidRPr="00D34D06">
        <w:rPr>
          <w:rFonts w:eastAsia="Calibri"/>
          <w:b/>
          <w:spacing w:val="-4"/>
          <w:sz w:val="27"/>
          <w:szCs w:val="27"/>
          <w:lang w:eastAsia="en-US"/>
        </w:rPr>
        <w:t>Основные понятия, используемые в настоящем областном законе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В целях настоящего областного закона используются следующие основные понятия: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 xml:space="preserve">1) 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– земельный участок), и </w:t>
      </w:r>
      <w:proofErr w:type="gramStart"/>
      <w:r w:rsidRPr="00D34D06">
        <w:rPr>
          <w:rFonts w:eastAsia="Calibri"/>
          <w:bCs/>
          <w:sz w:val="27"/>
          <w:szCs w:val="27"/>
          <w:lang w:eastAsia="en-US"/>
        </w:rPr>
        <w:t>границы</w:t>
      </w:r>
      <w:proofErr w:type="gramEnd"/>
      <w:r w:rsidRPr="00D34D06">
        <w:rPr>
          <w:rFonts w:eastAsia="Calibri"/>
          <w:bCs/>
          <w:sz w:val="27"/>
          <w:szCs w:val="27"/>
          <w:lang w:eastAsia="en-US"/>
        </w:rPr>
        <w:t xml:space="preserve"> которой определены правилами благоустройства территории муниципального образования (далее – правила благоустройства) в соответствии с порядком, установленным настоящим областным законом;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2) внутренняя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3) 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sz w:val="27"/>
          <w:szCs w:val="27"/>
          <w:lang w:eastAsia="en-US"/>
        </w:rPr>
      </w:pPr>
      <w:r w:rsidRPr="00D34D06">
        <w:rPr>
          <w:rFonts w:eastAsia="Calibri"/>
          <w:sz w:val="27"/>
          <w:szCs w:val="27"/>
          <w:lang w:eastAsia="en-US"/>
        </w:rPr>
        <w:lastRenderedPageBreak/>
        <w:t xml:space="preserve">Статья 3. </w:t>
      </w:r>
      <w:r w:rsidRPr="00D34D06">
        <w:rPr>
          <w:rFonts w:eastAsia="Calibri"/>
          <w:b/>
          <w:sz w:val="27"/>
          <w:szCs w:val="27"/>
          <w:lang w:eastAsia="en-US"/>
        </w:rPr>
        <w:t>Определение органами местного самоуправления границ прилегающих территорий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  <w:lang w:eastAsia="en-US"/>
        </w:rPr>
      </w:pP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 xml:space="preserve">1. Границы прилегающих территорий определяются правилами благоустройства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территорий. Такое участие не может быть предусмотрено для собственников и (или) иных законных владельцев помещений в многоквартирных домах, земельные участки под которыми не образованы или образованы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>по границам таких домов.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2. </w:t>
      </w:r>
      <w:proofErr w:type="gramStart"/>
      <w:r w:rsidRPr="00D34D06">
        <w:rPr>
          <w:rFonts w:eastAsia="Calibri"/>
          <w:bCs/>
          <w:sz w:val="27"/>
          <w:szCs w:val="27"/>
          <w:lang w:eastAsia="en-US"/>
        </w:rPr>
        <w:t xml:space="preserve">Границы прилегающей территории определяются в отношении территории общего пользования, которая прилегает (то есть имеет общую границу) к зданию, строению, сооружению, земельному участку, в зависимости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 xml:space="preserve">от расположения зданий, строений, сооружений, земельных участков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>в существующей застройке, вида их разрешенного использования и фактического назначения, их площади и протяженности указанной общей границы, а также иных требований настоящего областного закона.</w:t>
      </w:r>
      <w:proofErr w:type="gramEnd"/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3. Границы прилегающей территории определяются с учетом следующих ограничений: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 xml:space="preserve">1) в отношении каждого здания, строения, сооружения, земельного </w:t>
      </w:r>
      <w:proofErr w:type="gramStart"/>
      <w:r w:rsidRPr="00D34D06">
        <w:rPr>
          <w:rFonts w:eastAsia="Calibri"/>
          <w:bCs/>
          <w:sz w:val="27"/>
          <w:szCs w:val="27"/>
          <w:lang w:eastAsia="en-US"/>
        </w:rPr>
        <w:t>участка</w:t>
      </w:r>
      <w:proofErr w:type="gramEnd"/>
      <w:r w:rsidRPr="00D34D06">
        <w:rPr>
          <w:rFonts w:eastAsia="Calibri"/>
          <w:bCs/>
          <w:sz w:val="27"/>
          <w:szCs w:val="27"/>
          <w:lang w:eastAsia="en-US"/>
        </w:rPr>
        <w:t xml:space="preserve"> могут быть установлены границы только одной прилегающей территории,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>в том числе границы, имеющие один замкнутый контур или несколько непересекающихся замкнутых контуров;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2) </w:t>
      </w:r>
      <w:r w:rsidRPr="00D34D06">
        <w:rPr>
          <w:rFonts w:eastAsia="Calibri"/>
          <w:bCs/>
          <w:spacing w:val="-2"/>
          <w:sz w:val="27"/>
          <w:szCs w:val="27"/>
          <w:lang w:eastAsia="en-US"/>
        </w:rPr>
        <w:t>в случае, если строение или сооружение, в том числе объект коммунальной</w:t>
      </w:r>
      <w:r w:rsidRPr="00D34D06">
        <w:rPr>
          <w:rFonts w:eastAsia="Calibri"/>
          <w:bCs/>
          <w:sz w:val="27"/>
          <w:szCs w:val="27"/>
          <w:lang w:eastAsia="en-US"/>
        </w:rPr>
        <w:t xml:space="preserve">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устанавливается общая прилегающая территория для такого здания, строения, сооружения, земельного участка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 xml:space="preserve">и обеспечивающего их исключительное функционирование строения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>или сооружения, в том числе объекта коммунальной инфраструктуры;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3) пересечение границ прилегающих территорий не допускается;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 xml:space="preserve">4) внутренняя часть границ прилегающей территории устанавливается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>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 xml:space="preserve">5) внешняя часть границ прилегающей территории устанавливается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 xml:space="preserve">за пределами границы здания, строения, сооружения, земельного участка,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z w:val="27"/>
          <w:szCs w:val="27"/>
          <w:lang w:eastAsia="en-US"/>
        </w:rPr>
        <w:t>в отношении которого определяются границы прилегающей территории</w:t>
      </w:r>
      <w:r w:rsidRPr="00D34D06">
        <w:rPr>
          <w:rFonts w:eastAsia="Calibri"/>
          <w:sz w:val="27"/>
          <w:szCs w:val="27"/>
          <w:lang w:eastAsia="en-US"/>
        </w:rPr>
        <w:t>.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sz w:val="27"/>
          <w:szCs w:val="27"/>
          <w:lang w:eastAsia="en-US"/>
        </w:rPr>
        <w:t xml:space="preserve">4. Границы прилегающей территории отображаются на графической схеме местоположения границ прилегающей территории на кадастровом плане территории (далее – графическая схема). 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 xml:space="preserve">5. Подготовка графической схемы осуществляется уполномоченным органом местного самоуправления. Подготовка графической схемы может осуществляться собственниками и (или) иными законными владельцами зданий, строений, сооружений, земельных участков за счет их средств самостоятельно </w:t>
      </w:r>
      <w:r>
        <w:rPr>
          <w:rFonts w:eastAsia="Calibri"/>
          <w:bCs/>
          <w:sz w:val="27"/>
          <w:szCs w:val="27"/>
          <w:lang w:eastAsia="en-US"/>
        </w:rPr>
        <w:br/>
      </w:r>
      <w:r w:rsidRPr="00D34D06">
        <w:rPr>
          <w:rFonts w:eastAsia="Calibri"/>
          <w:bCs/>
          <w:spacing w:val="-6"/>
          <w:sz w:val="27"/>
          <w:szCs w:val="27"/>
          <w:lang w:eastAsia="en-US"/>
        </w:rPr>
        <w:t>или привлекаемыми организациями в соответствии с федеральным законодательством.</w:t>
      </w:r>
      <w:r w:rsidRPr="00D34D06">
        <w:rPr>
          <w:rFonts w:eastAsia="Calibri"/>
          <w:bCs/>
          <w:sz w:val="27"/>
          <w:szCs w:val="27"/>
          <w:lang w:eastAsia="en-US"/>
        </w:rPr>
        <w:t xml:space="preserve"> </w:t>
      </w:r>
      <w:r w:rsidRPr="00D34D06">
        <w:rPr>
          <w:rFonts w:eastAsia="Calibri"/>
          <w:bCs/>
          <w:sz w:val="27"/>
          <w:szCs w:val="27"/>
          <w:lang w:eastAsia="en-US"/>
        </w:rPr>
        <w:lastRenderedPageBreak/>
        <w:t>Расходы указанных лиц на подготовку графической схемы не подлежат возмещению за счет средств бюджетов бюджетной системы Российской Федерации.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  <w:lang w:eastAsia="en-US"/>
        </w:rPr>
      </w:pPr>
      <w:r w:rsidRPr="00D34D06">
        <w:rPr>
          <w:rFonts w:eastAsia="Calibri"/>
          <w:sz w:val="27"/>
          <w:szCs w:val="27"/>
          <w:lang w:eastAsia="en-US"/>
        </w:rPr>
        <w:t xml:space="preserve">6. Подготовка графической схемы осуществляется в форме электронного документа и (или) на бумажном носителе, в том числе в информационно-телекоммуникационной сети "Интернет" или с использованием иных технологических и программных средств. Графическая схема может быть подготовлена для всех прилегающих территорий в границах муниципального образования или для одной или нескольких прилегающих территорий применительно к части территории муниципального образования. Подготовка графической схемы для одной прилегающей территории применительно к части территории муниципального образования осуществляется в форме одного документа. Графическая схема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документов. 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  <w:lang w:eastAsia="en-US"/>
        </w:rPr>
      </w:pPr>
      <w:r w:rsidRPr="00D34D06">
        <w:rPr>
          <w:rFonts w:eastAsia="Calibri"/>
          <w:sz w:val="27"/>
          <w:szCs w:val="27"/>
          <w:lang w:eastAsia="en-US"/>
        </w:rPr>
        <w:t xml:space="preserve">7. Установление и изменение границ прилегающей территории осуществляется путем </w:t>
      </w:r>
      <w:proofErr w:type="gramStart"/>
      <w:r w:rsidRPr="00D34D06">
        <w:rPr>
          <w:rFonts w:eastAsia="Calibri"/>
          <w:sz w:val="27"/>
          <w:szCs w:val="27"/>
          <w:lang w:eastAsia="en-US"/>
        </w:rPr>
        <w:t>утверждения</w:t>
      </w:r>
      <w:proofErr w:type="gramEnd"/>
      <w:r w:rsidRPr="00D34D06">
        <w:rPr>
          <w:rFonts w:eastAsia="Calibri"/>
          <w:sz w:val="27"/>
          <w:szCs w:val="27"/>
          <w:lang w:eastAsia="en-US"/>
        </w:rPr>
        <w:t xml:space="preserve"> представительным органом муниципального образования графической схемы в составе правил благоустройства.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8. Утвержденные графические схемы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"Интернет".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bCs/>
          <w:sz w:val="27"/>
          <w:szCs w:val="27"/>
          <w:lang w:eastAsia="en-US"/>
        </w:rPr>
      </w:pPr>
      <w:r w:rsidRPr="00D34D06">
        <w:rPr>
          <w:rFonts w:eastAsia="Calibri"/>
          <w:bCs/>
          <w:sz w:val="27"/>
          <w:szCs w:val="27"/>
          <w:lang w:eastAsia="en-US"/>
        </w:rPr>
        <w:t>9. Правилами благоустройства могут устанавливаться дополнительные требования к определению границ прилегающих территорий, не противоречащие федеральному законодательству и областному законодательству.</w:t>
      </w:r>
    </w:p>
    <w:p w:rsidR="008323DC" w:rsidRPr="00D34D06" w:rsidRDefault="008323DC" w:rsidP="008323DC">
      <w:pPr>
        <w:autoSpaceDE w:val="0"/>
        <w:autoSpaceDN w:val="0"/>
        <w:adjustRightInd w:val="0"/>
        <w:ind w:firstLine="709"/>
        <w:rPr>
          <w:rFonts w:eastAsia="Calibri"/>
          <w:sz w:val="27"/>
          <w:szCs w:val="27"/>
          <w:lang w:eastAsia="en-US"/>
        </w:rPr>
      </w:pPr>
    </w:p>
    <w:p w:rsidR="008323DC" w:rsidRPr="00D34D06" w:rsidRDefault="008323DC" w:rsidP="008323DC">
      <w:pPr>
        <w:ind w:firstLine="709"/>
        <w:rPr>
          <w:b/>
          <w:bCs/>
          <w:sz w:val="27"/>
          <w:szCs w:val="27"/>
        </w:rPr>
      </w:pPr>
      <w:r w:rsidRPr="00D34D06">
        <w:rPr>
          <w:bCs/>
          <w:sz w:val="27"/>
          <w:szCs w:val="27"/>
        </w:rPr>
        <w:t xml:space="preserve">Статья 4. </w:t>
      </w:r>
      <w:r w:rsidRPr="00D34D06">
        <w:rPr>
          <w:b/>
          <w:bCs/>
          <w:sz w:val="27"/>
          <w:szCs w:val="27"/>
        </w:rPr>
        <w:t xml:space="preserve">Вступление в силу настоящего областного закона </w:t>
      </w:r>
    </w:p>
    <w:p w:rsidR="008323DC" w:rsidRPr="00D34D06" w:rsidRDefault="008323DC" w:rsidP="008323DC">
      <w:pPr>
        <w:ind w:firstLine="709"/>
        <w:rPr>
          <w:b/>
          <w:bCs/>
          <w:sz w:val="27"/>
          <w:szCs w:val="27"/>
        </w:rPr>
      </w:pPr>
    </w:p>
    <w:p w:rsidR="008323DC" w:rsidRPr="00D34D06" w:rsidRDefault="008323DC" w:rsidP="008323DC">
      <w:pPr>
        <w:ind w:firstLine="709"/>
        <w:rPr>
          <w:bCs/>
          <w:sz w:val="27"/>
          <w:szCs w:val="27"/>
        </w:rPr>
      </w:pPr>
      <w:r w:rsidRPr="00D34D06">
        <w:rPr>
          <w:bCs/>
          <w:sz w:val="27"/>
          <w:szCs w:val="27"/>
        </w:rPr>
        <w:t>Настоящий областной закон вступает в силу через 10 дней после его официального опубликования.</w:t>
      </w:r>
    </w:p>
    <w:p w:rsidR="008323DC" w:rsidRPr="00D34D06" w:rsidRDefault="008323DC" w:rsidP="008323DC">
      <w:pPr>
        <w:ind w:firstLine="709"/>
        <w:rPr>
          <w:bCs/>
          <w:sz w:val="27"/>
          <w:szCs w:val="27"/>
        </w:rPr>
      </w:pPr>
    </w:p>
    <w:p w:rsidR="008323DC" w:rsidRPr="00D34D06" w:rsidRDefault="008323DC" w:rsidP="008323DC">
      <w:pPr>
        <w:ind w:firstLine="709"/>
        <w:rPr>
          <w:bCs/>
          <w:sz w:val="27"/>
          <w:szCs w:val="27"/>
        </w:rPr>
      </w:pPr>
    </w:p>
    <w:p w:rsidR="008323DC" w:rsidRDefault="008323DC" w:rsidP="008323DC">
      <w:pPr>
        <w:tabs>
          <w:tab w:val="right" w:pos="9639"/>
        </w:tabs>
        <w:rPr>
          <w:bCs/>
          <w:sz w:val="27"/>
          <w:szCs w:val="27"/>
        </w:rPr>
      </w:pPr>
      <w:r w:rsidRPr="00D34D06">
        <w:rPr>
          <w:bCs/>
          <w:sz w:val="27"/>
          <w:szCs w:val="27"/>
        </w:rPr>
        <w:t>Губернатор</w:t>
      </w:r>
      <w:r w:rsidRPr="00D34D06">
        <w:rPr>
          <w:bCs/>
          <w:sz w:val="27"/>
          <w:szCs w:val="27"/>
        </w:rPr>
        <w:br/>
        <w:t>Ленинградской области</w:t>
      </w:r>
      <w:r w:rsidRPr="00D34D06">
        <w:rPr>
          <w:bCs/>
          <w:sz w:val="27"/>
          <w:szCs w:val="27"/>
        </w:rPr>
        <w:tab/>
        <w:t>А. Дрозденко</w:t>
      </w:r>
    </w:p>
    <w:p w:rsidR="008323DC" w:rsidRDefault="008323DC" w:rsidP="008323DC">
      <w:pPr>
        <w:tabs>
          <w:tab w:val="right" w:pos="9639"/>
        </w:tabs>
        <w:rPr>
          <w:bCs/>
          <w:sz w:val="27"/>
          <w:szCs w:val="27"/>
        </w:rPr>
      </w:pPr>
    </w:p>
    <w:p w:rsidR="008323DC" w:rsidRDefault="008323DC" w:rsidP="008323DC">
      <w:pPr>
        <w:tabs>
          <w:tab w:val="right" w:pos="9639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>Санкт-Петербург</w:t>
      </w:r>
    </w:p>
    <w:p w:rsidR="008323DC" w:rsidRDefault="008323DC" w:rsidP="008323DC">
      <w:pPr>
        <w:tabs>
          <w:tab w:val="right" w:pos="9639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>14 ноября 2018 года</w:t>
      </w:r>
    </w:p>
    <w:p w:rsidR="008323DC" w:rsidRPr="00D34D06" w:rsidRDefault="008323DC" w:rsidP="008323DC">
      <w:pPr>
        <w:tabs>
          <w:tab w:val="right" w:pos="9639"/>
        </w:tabs>
        <w:rPr>
          <w:rFonts w:eastAsia="Calibri"/>
          <w:sz w:val="27"/>
          <w:szCs w:val="27"/>
          <w:lang w:eastAsia="en-US"/>
        </w:rPr>
      </w:pPr>
      <w:r>
        <w:rPr>
          <w:bCs/>
          <w:sz w:val="27"/>
          <w:szCs w:val="27"/>
        </w:rPr>
        <w:t>№ 118-оз</w:t>
      </w:r>
    </w:p>
    <w:p w:rsidR="008323DC" w:rsidRPr="00D34D06" w:rsidRDefault="008323DC" w:rsidP="008323DC">
      <w:pPr>
        <w:rPr>
          <w:szCs w:val="28"/>
        </w:rPr>
      </w:pPr>
    </w:p>
    <w:p w:rsidR="008323DC" w:rsidRPr="00D34D06" w:rsidRDefault="008323DC" w:rsidP="008323DC">
      <w:pPr>
        <w:rPr>
          <w:szCs w:val="28"/>
        </w:rPr>
      </w:pPr>
    </w:p>
    <w:p w:rsidR="008323DC" w:rsidRPr="00D34D06" w:rsidRDefault="008323DC" w:rsidP="008323DC">
      <w:pPr>
        <w:rPr>
          <w:szCs w:val="28"/>
        </w:rPr>
      </w:pPr>
    </w:p>
    <w:p w:rsidR="008323DC" w:rsidRPr="00D34D06" w:rsidRDefault="008323DC" w:rsidP="008323DC">
      <w:pPr>
        <w:rPr>
          <w:szCs w:val="28"/>
        </w:rPr>
      </w:pPr>
    </w:p>
    <w:p w:rsidR="008323DC" w:rsidRPr="00D34D06" w:rsidRDefault="008323DC" w:rsidP="008323DC">
      <w:pPr>
        <w:rPr>
          <w:szCs w:val="28"/>
        </w:rPr>
      </w:pPr>
    </w:p>
    <w:p w:rsidR="00D5450C" w:rsidRPr="008323DC" w:rsidRDefault="00D5450C" w:rsidP="008323DC"/>
    <w:sectPr w:rsidR="00D5450C" w:rsidRPr="008323DC" w:rsidSect="00832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48" w:rsidRDefault="001F4E48">
      <w:r>
        <w:separator/>
      </w:r>
    </w:p>
  </w:endnote>
  <w:endnote w:type="continuationSeparator" w:id="0">
    <w:p w:rsidR="001F4E48" w:rsidRDefault="001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48" w:rsidRDefault="001F4E48">
      <w:r>
        <w:separator/>
      </w:r>
    </w:p>
  </w:footnote>
  <w:footnote w:type="continuationSeparator" w:id="0">
    <w:p w:rsidR="001F4E48" w:rsidRDefault="001F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AD5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01a37ab-bb20-4fad-b42b-a3035594c61b"/>
  </w:docVars>
  <w:rsids>
    <w:rsidRoot w:val="00A25057"/>
    <w:rsid w:val="00174C21"/>
    <w:rsid w:val="001F4E48"/>
    <w:rsid w:val="001F7932"/>
    <w:rsid w:val="00304B3D"/>
    <w:rsid w:val="003A5E6B"/>
    <w:rsid w:val="004625E5"/>
    <w:rsid w:val="005B7040"/>
    <w:rsid w:val="007C10FC"/>
    <w:rsid w:val="008323DC"/>
    <w:rsid w:val="00A25057"/>
    <w:rsid w:val="00A814E3"/>
    <w:rsid w:val="00C21E02"/>
    <w:rsid w:val="00CB2AD5"/>
    <w:rsid w:val="00D317FC"/>
    <w:rsid w:val="00D5450C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323DC"/>
    <w:pPr>
      <w:jc w:val="both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</w:pPr>
    <w:rPr>
      <w:b/>
      <w:snapToGrid w:val="0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323DC"/>
    <w:pPr>
      <w:jc w:val="both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</w:pPr>
    <w:rPr>
      <w:b/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ab3ef756-83f1-485e-824c-8c553d32a6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ab3ef756-83f1-485e-824c-8c553d32a640.dot</Template>
  <TotalTime>1</TotalTime>
  <Pages>3</Pages>
  <Words>732</Words>
  <Characters>5747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Пользователь</cp:lastModifiedBy>
  <cp:revision>2</cp:revision>
  <cp:lastPrinted>2006-01-11T13:29:00Z</cp:lastPrinted>
  <dcterms:created xsi:type="dcterms:W3CDTF">2018-12-21T07:49:00Z</dcterms:created>
  <dcterms:modified xsi:type="dcterms:W3CDTF">2018-12-21T07:49:00Z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901a37ab-bb20-4fad-b42b-a3035594c61b</vt:lpwstr>
  </property>
</Properties>
</file>